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5D170195" w:rsidR="00F026DD" w:rsidRDefault="000059BF">
      <w:pPr>
        <w:pStyle w:val="BodyText"/>
        <w:ind w:left="116"/>
        <w:rPr>
          <w:rFonts w:ascii="Times New Roman"/>
          <w:sz w:val="20"/>
        </w:rPr>
      </w:pPr>
      <w:r>
        <w:rPr>
          <w:noProof/>
        </w:rPr>
        <w:drawing>
          <wp:anchor distT="0" distB="0" distL="114300" distR="114300" simplePos="0" relativeHeight="251680768" behindDoc="0" locked="0" layoutInCell="1" allowOverlap="1" wp14:anchorId="0CFEB278" wp14:editId="02DB5076">
            <wp:simplePos x="0" y="0"/>
            <wp:positionH relativeFrom="margin">
              <wp:align>left</wp:align>
            </wp:positionH>
            <wp:positionV relativeFrom="paragraph">
              <wp:posOffset>-396875</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10447987" w:rsidR="00F026DD" w:rsidRDefault="00560D62">
                              <w:pPr>
                                <w:spacing w:before="97"/>
                                <w:ind w:left="23"/>
                                <w:rPr>
                                  <w:b/>
                                  <w:sz w:val="16"/>
                                </w:rPr>
                              </w:pPr>
                              <w:r>
                                <w:rPr>
                                  <w:b/>
                                  <w:sz w:val="16"/>
                                </w:rPr>
                                <w:t xml:space="preserve">Share Class: </w:t>
                              </w:r>
                              <w:r w:rsidR="004912A6">
                                <w:rPr>
                                  <w:b/>
                                  <w:sz w:val="16"/>
                                </w:rPr>
                                <w:t>B</w:t>
                              </w:r>
                              <w:r>
                                <w:rPr>
                                  <w:b/>
                                  <w:sz w:val="16"/>
                                </w:rPr>
                                <w:t xml:space="preserve"> USD</w:t>
                              </w:r>
                            </w:p>
                            <w:p w14:paraId="0B5516E6" w14:textId="35099051" w:rsidR="00F026DD" w:rsidRDefault="00560D62">
                              <w:pPr>
                                <w:spacing w:before="125"/>
                                <w:ind w:left="23"/>
                                <w:rPr>
                                  <w:b/>
                                  <w:sz w:val="16"/>
                                </w:rPr>
                              </w:pPr>
                              <w:r>
                                <w:rPr>
                                  <w:b/>
                                  <w:sz w:val="16"/>
                                </w:rPr>
                                <w:t>This Fund is managed by Prescient Fund Services (Ireland) Limited</w:t>
                              </w:r>
                              <w:r w:rsidR="00B80828">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10447987" w:rsidR="00F026DD" w:rsidRDefault="00560D62">
                        <w:pPr>
                          <w:spacing w:before="97"/>
                          <w:ind w:left="23"/>
                          <w:rPr>
                            <w:b/>
                            <w:sz w:val="16"/>
                          </w:rPr>
                        </w:pPr>
                        <w:r>
                          <w:rPr>
                            <w:b/>
                            <w:sz w:val="16"/>
                          </w:rPr>
                          <w:t xml:space="preserve">Share Class: </w:t>
                        </w:r>
                        <w:r w:rsidR="004912A6">
                          <w:rPr>
                            <w:b/>
                            <w:sz w:val="16"/>
                          </w:rPr>
                          <w:t>B</w:t>
                        </w:r>
                        <w:r>
                          <w:rPr>
                            <w:b/>
                            <w:sz w:val="16"/>
                          </w:rPr>
                          <w:t xml:space="preserve"> USD</w:t>
                        </w:r>
                      </w:p>
                      <w:p w14:paraId="0B5516E6" w14:textId="35099051" w:rsidR="00F026DD" w:rsidRDefault="00560D62">
                        <w:pPr>
                          <w:spacing w:before="125"/>
                          <w:ind w:left="23"/>
                          <w:rPr>
                            <w:b/>
                            <w:sz w:val="16"/>
                          </w:rPr>
                        </w:pPr>
                        <w:r>
                          <w:rPr>
                            <w:b/>
                            <w:sz w:val="16"/>
                          </w:rPr>
                          <w:t>This Fund is managed by Prescient Fund Services (Ireland) Limited</w:t>
                        </w:r>
                        <w:r w:rsidR="00B80828">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8296B9"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D219FC">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A6A6A6" w:themeFill="background1" w:themeFillShade="A6"/>
          </w:tcPr>
          <w:p w14:paraId="12CB33B1" w14:textId="77777777" w:rsidR="00F026DD" w:rsidRPr="00884F55" w:rsidRDefault="00560D62">
            <w:pPr>
              <w:pStyle w:val="TableParagraph"/>
              <w:ind w:left="17"/>
              <w:jc w:val="center"/>
              <w:rPr>
                <w:b/>
                <w:color w:val="A6A6A6" w:themeColor="background1" w:themeShade="A6"/>
                <w:sz w:val="20"/>
              </w:rPr>
            </w:pPr>
            <w:r w:rsidRPr="00D219FC">
              <w:rPr>
                <w:b/>
                <w:w w:val="99"/>
                <w:sz w:val="20"/>
              </w:rPr>
              <w:t>5</w:t>
            </w:r>
          </w:p>
        </w:tc>
        <w:tc>
          <w:tcPr>
            <w:tcW w:w="749" w:type="dxa"/>
            <w:shd w:val="clear" w:color="auto" w:fill="auto"/>
          </w:tcPr>
          <w:p w14:paraId="188AD5C2" w14:textId="77777777" w:rsidR="00F026DD" w:rsidRPr="00D219FC" w:rsidRDefault="00560D62">
            <w:pPr>
              <w:pStyle w:val="TableParagraph"/>
              <w:ind w:left="17"/>
              <w:jc w:val="center"/>
              <w:rPr>
                <w:bCs/>
                <w:color w:val="A6A6A6" w:themeColor="background1" w:themeShade="A6"/>
                <w:sz w:val="20"/>
              </w:rPr>
            </w:pPr>
            <w:r w:rsidRPr="00D219FC">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0D81F07"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5636E">
                                    <w:rPr>
                                      <w:sz w:val="16"/>
                                    </w:rPr>
                                    <w:t>2</w:t>
                                  </w:r>
                                  <w:r w:rsidR="0058485D">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0D81F07"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5636E">
                              <w:rPr>
                                <w:sz w:val="16"/>
                              </w:rPr>
                              <w:t>2</w:t>
                            </w:r>
                            <w:r w:rsidR="0058485D">
                              <w:rPr>
                                <w:sz w:val="16"/>
                              </w:rPr>
                              <w:t>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77777777" w:rsidR="00F026DD" w:rsidRPr="0088070D" w:rsidRDefault="00560D62">
      <w:pPr>
        <w:pStyle w:val="BodyText"/>
        <w:spacing w:line="266" w:lineRule="auto"/>
        <w:ind w:left="5945" w:right="138"/>
        <w:jc w:val="both"/>
      </w:pPr>
      <w:r w:rsidRPr="0088070D">
        <w:t>The ongoing charges figure is is an estimate of charges for the first 12 months of operation of the fund. The Fund's annual report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w:t>
      </w:r>
      <w:r w:rsidRPr="0088070D">
        <w:rPr>
          <w:spacing w:val="2"/>
        </w:rPr>
        <w:t xml:space="preserve"> </w:t>
      </w:r>
      <w:r w:rsidRPr="0088070D">
        <w:t>undertaking.</w:t>
      </w: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0921E8DD" w14:textId="77777777" w:rsidR="00D170B1" w:rsidRDefault="00560D62" w:rsidP="00D170B1">
      <w:pPr>
        <w:pStyle w:val="BodyText"/>
        <w:spacing w:before="1"/>
        <w:ind w:left="156"/>
      </w:pPr>
      <w:r w:rsidRPr="0088070D">
        <w:t>You can find more details about the charges in the section of the Fund’s Prospectus entitled Fees and Expenses.</w:t>
      </w:r>
    </w:p>
    <w:p w14:paraId="44092FD4" w14:textId="0729AFAF" w:rsidR="00F026DD" w:rsidRPr="00D170B1" w:rsidRDefault="00F026DD" w:rsidP="00D170B1">
      <w:pPr>
        <w:pStyle w:val="BodyText"/>
        <w:spacing w:before="1"/>
        <w:ind w:left="156"/>
      </w:pPr>
    </w:p>
    <w:p w14:paraId="426349F5" w14:textId="77777777" w:rsidR="00D170B1" w:rsidRPr="00C13070" w:rsidRDefault="00D170B1" w:rsidP="00D170B1">
      <w:pPr>
        <w:pStyle w:val="BodyText"/>
        <w:spacing w:before="1"/>
        <w:ind w:left="5945"/>
      </w:pPr>
      <w:r w:rsidRPr="007A70E5">
        <w:rPr>
          <w:noProof/>
        </w:rPr>
        <w:drawing>
          <wp:anchor distT="0" distB="0" distL="114300" distR="114300" simplePos="0" relativeHeight="251684864" behindDoc="0" locked="0" layoutInCell="1" allowOverlap="1" wp14:anchorId="1F695A0D" wp14:editId="75BA2682">
            <wp:simplePos x="0" y="0"/>
            <wp:positionH relativeFrom="column">
              <wp:posOffset>233045</wp:posOffset>
            </wp:positionH>
            <wp:positionV relativeFrom="paragraph">
              <wp:posOffset>391795</wp:posOffset>
            </wp:positionV>
            <wp:extent cx="3181350" cy="2247900"/>
            <wp:effectExtent l="0" t="0" r="0"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88070D">
        <w:t>You can find more details about the charges in the section of the Fund’s Prospectus entitled Fees and Expenses.</w:t>
      </w:r>
      <w:r>
        <w:rPr>
          <w:noProof/>
        </w:rPr>
        <mc:AlternateContent>
          <mc:Choice Requires="wps">
            <w:drawing>
              <wp:anchor distT="0" distB="0" distL="0" distR="0" simplePos="0" relativeHeight="251683840" behindDoc="1" locked="0" layoutInCell="1" allowOverlap="1" wp14:anchorId="378CDC27" wp14:editId="31E6879B">
                <wp:simplePos x="0" y="0"/>
                <wp:positionH relativeFrom="page">
                  <wp:posOffset>256540</wp:posOffset>
                </wp:positionH>
                <wp:positionV relativeFrom="paragraph">
                  <wp:posOffset>108585</wp:posOffset>
                </wp:positionV>
                <wp:extent cx="7004685" cy="165100"/>
                <wp:effectExtent l="0" t="0" r="0" b="0"/>
                <wp:wrapTopAndBottom/>
                <wp:docPr id="4088190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EA0B07D" w14:textId="77777777" w:rsidR="00D170B1" w:rsidRDefault="00D170B1" w:rsidP="00D170B1">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CDC27" id="Text Box 23" o:spid="_x0000_s1033" type="#_x0000_t202" style="position:absolute;left:0;text-align:left;margin-left:20.2pt;margin-top:8.55pt;width:551.55pt;height:13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fu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CSAGiLxWUJ+IWYSpc2nSyOgAf3A2UNeW3H8/CFScmfeW1IktPhs4G9VsCCvpackD&#10;Z5O5C9MoHBzqtiPkSX8Lt6RgoxO5T1mc06VOTJyfpya2+q/75PU029ufAA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Cj&#10;PXfuEgIAACMEAAAOAAAAAAAAAAAAAAAAAC4CAABkcnMvZTJvRG9jLnhtbFBLAQItABQABgAIAAAA&#10;IQAupSYk3wAAAAkBAAAPAAAAAAAAAAAAAAAAAGwEAABkcnMvZG93bnJldi54bWxQSwUGAAAAAAQA&#10;BADzAAAAeAUAAAAA&#10;" fillcolor="#bfbfbf" strokeweight=".84pt">
                <v:textbox inset="0,0,0,0">
                  <w:txbxContent>
                    <w:p w14:paraId="3EA0B07D" w14:textId="77777777" w:rsidR="00D170B1" w:rsidRDefault="00D170B1" w:rsidP="00D170B1">
                      <w:pPr>
                        <w:spacing w:before="18"/>
                        <w:ind w:left="26"/>
                        <w:rPr>
                          <w:b/>
                          <w:sz w:val="18"/>
                        </w:rPr>
                      </w:pPr>
                      <w:r>
                        <w:rPr>
                          <w:b/>
                          <w:sz w:val="18"/>
                        </w:rPr>
                        <w:t>Past Performance</w:t>
                      </w:r>
                    </w:p>
                  </w:txbxContent>
                </v:textbox>
                <w10:wrap type="topAndBottom" anchorx="page"/>
              </v:shape>
            </w:pict>
          </mc:Fallback>
        </mc:AlternateContent>
      </w:r>
      <w:r>
        <w:rPr>
          <w:noProof/>
        </w:rPr>
        <mc:AlternateContent>
          <mc:Choice Requires="wps">
            <w:drawing>
              <wp:anchor distT="0" distB="0" distL="114300" distR="114300" simplePos="0" relativeHeight="251682816" behindDoc="1" locked="0" layoutInCell="1" allowOverlap="1" wp14:anchorId="73ED0B10" wp14:editId="67CE6922">
                <wp:simplePos x="0" y="0"/>
                <wp:positionH relativeFrom="page">
                  <wp:posOffset>255270</wp:posOffset>
                </wp:positionH>
                <wp:positionV relativeFrom="paragraph">
                  <wp:posOffset>97155</wp:posOffset>
                </wp:positionV>
                <wp:extent cx="136525" cy="1270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7BF6" w14:textId="77777777" w:rsidR="00D170B1" w:rsidRDefault="00D170B1" w:rsidP="00D170B1">
                            <w:pPr>
                              <w:spacing w:line="199" w:lineRule="exact"/>
                              <w:rPr>
                                <w:rFonts w:ascii="Calibri"/>
                                <w:sz w:val="20"/>
                              </w:rPr>
                            </w:pPr>
                            <w:r>
                              <w:rPr>
                                <w:rFonts w:ascii="Calibri"/>
                                <w:w w:val="95"/>
                                <w:sz w:val="20"/>
                              </w:rPr>
                              <w:t>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D0B10" id="Text Box 22" o:spid="_x0000_s1034" type="#_x0000_t202" style="position:absolute;left:0;text-align:left;margin-left:20.1pt;margin-top:7.65pt;width:10.75pt;height:1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cy2QEAAJcDAAAOAAAAZHJzL2Uyb0RvYy54bWysU9tu1DAQfUfiHyy/s8kuaoFos1VpVYRU&#10;LlLhAxzHSSwSj5nxbrJ8PWNnswX6VvFiTXw5cy6T7dU09OJgkCy4Uq5XuRTGaaita0v5/dvdq7dS&#10;UFCuVj04U8qjIXm1e/liO/rCbKCDvjYoGMRRMfpSdiH4IstId2ZQtAJvHB82gIMK/IltVqMaGX3o&#10;s02eX2YjYO0RtCHi3dv5UO4SftMYHb40DZkg+lIyt5BWTGsV12y3VUWLyndWn2ioZ7AYlHXc9Ax1&#10;q4ISe7RPoAarEQiasNIwZNA0VpukgdWs83/UPHTKm6SFzSF/ton+H6z+fHjwX1GE6T1MHGASQf4e&#10;9A8SDm465VpzjQhjZ1TNjdfRsmz0VJyeRqupoAhSjZ+g5pDVPkACmhocoiusUzA6B3A8m26mIHRs&#10;+fryYnMhheaj9eZNnqdQMlUsjz1S+GBgELEoJXKmCVwd7ilEMqpYrsReDu5s36dce/fXBl+MO4l8&#10;5DszD1M1CVuX8l1UFrVUUB9ZDcI8LTzdXHSAv6QYeVJKST/3Co0U/UfHjsSxWgpcimoplNP8tJRB&#10;irm8CfP47T3atmPk2XMH1+xaY5OiRxYnupx+Enqa1Dhef36nW4//0+43AAAA//8DAFBLAwQUAAYA&#10;CAAAACEA5arkxdsAAAAHAQAADwAAAGRycy9kb3ducmV2LnhtbEyOzU7DMBCE70i8g7VI3KjdFkIb&#10;4lQVghMSahoOHJ14m0SN1yF22/D2LCc4zo9mvmwzuV6ccQydJw3zmQKBVHvbUaPho3y9W4EI0ZA1&#10;vSfU8I0BNvn1VWZS6y9U4HkfG8EjFFKjoY1xSKUMdYvOhJkfkDg7+NGZyHJspB3NhcddLxdKJdKZ&#10;jvihNQM+t1gf9yenYftJxUv39V7tikPRleVa0Vty1Pr2Zto+gYg4xb8y/OIzOuTMVPkT2SB6Dfdq&#10;wU32H5YgOE/mjyAqDUvWMs/kf/78BwAA//8DAFBLAQItABQABgAIAAAAIQC2gziS/gAAAOEBAAAT&#10;AAAAAAAAAAAAAAAAAAAAAABbQ29udGVudF9UeXBlc10ueG1sUEsBAi0AFAAGAAgAAAAhADj9If/W&#10;AAAAlAEAAAsAAAAAAAAAAAAAAAAALwEAAF9yZWxzLy5yZWxzUEsBAi0AFAAGAAgAAAAhAEZT1zLZ&#10;AQAAlwMAAA4AAAAAAAAAAAAAAAAALgIAAGRycy9lMm9Eb2MueG1sUEsBAi0AFAAGAAgAAAAhAOWq&#10;5MXbAAAABwEAAA8AAAAAAAAAAAAAAAAAMwQAAGRycy9kb3ducmV2LnhtbFBLBQYAAAAABAAEAPMA&#10;AAA7BQAAAAA=&#10;" filled="f" stroked="f">
                <v:textbox inset="0,0,0,0">
                  <w:txbxContent>
                    <w:p w14:paraId="359F7BF6" w14:textId="77777777" w:rsidR="00D170B1" w:rsidRDefault="00D170B1" w:rsidP="00D170B1">
                      <w:pPr>
                        <w:spacing w:line="199" w:lineRule="exact"/>
                        <w:rPr>
                          <w:rFonts w:ascii="Calibri"/>
                          <w:sz w:val="20"/>
                        </w:rPr>
                      </w:pPr>
                      <w:r>
                        <w:rPr>
                          <w:rFonts w:ascii="Calibri"/>
                          <w:w w:val="95"/>
                          <w:sz w:val="20"/>
                        </w:rPr>
                        <w:t>SD</w:t>
                      </w:r>
                    </w:p>
                  </w:txbxContent>
                </v:textbox>
                <w10:wrap anchorx="page"/>
              </v:shape>
            </w:pict>
          </mc:Fallback>
        </mc:AlternateContent>
      </w:r>
      <w:r>
        <w:t xml:space="preserve"> </w:t>
      </w:r>
      <w:r w:rsidRPr="0088070D">
        <w:t>The chart shows the Fund's annual performance in USD for each full calendar year over the period displayed in the chart.  It is expressed as a percentage change of the Fund's net asset value at each</w:t>
      </w:r>
      <w:r w:rsidRPr="0088070D">
        <w:rPr>
          <w:spacing w:val="42"/>
        </w:rPr>
        <w:t xml:space="preserve"> </w:t>
      </w:r>
      <w:r w:rsidRPr="0088070D">
        <w:t>year-end.</w:t>
      </w:r>
    </w:p>
    <w:p w14:paraId="761921AE" w14:textId="77777777" w:rsidR="00D170B1" w:rsidRPr="0088070D" w:rsidRDefault="00D170B1" w:rsidP="00D170B1">
      <w:pPr>
        <w:pStyle w:val="BodyText"/>
        <w:spacing w:before="2"/>
      </w:pPr>
    </w:p>
    <w:p w14:paraId="3D2DFCB5" w14:textId="5D2D9A11" w:rsidR="00D170B1" w:rsidRPr="0088070D" w:rsidRDefault="00D170B1" w:rsidP="00D170B1">
      <w:pPr>
        <w:pStyle w:val="BodyText"/>
        <w:spacing w:line="266" w:lineRule="auto"/>
        <w:ind w:left="5945" w:right="138"/>
        <w:jc w:val="both"/>
      </w:pPr>
      <w:r w:rsidRPr="0088070D">
        <w:t>The Fund was launched in 2017</w:t>
      </w:r>
      <w:r>
        <w:t>.</w:t>
      </w:r>
    </w:p>
    <w:p w14:paraId="28448632" w14:textId="77777777" w:rsidR="00D170B1" w:rsidRPr="0088070D" w:rsidRDefault="00D170B1" w:rsidP="00D170B1">
      <w:pPr>
        <w:pStyle w:val="BodyText"/>
        <w:rPr>
          <w:sz w:val="18"/>
        </w:rPr>
      </w:pPr>
    </w:p>
    <w:p w14:paraId="67DCE8DB" w14:textId="77777777" w:rsidR="00D170B1" w:rsidRPr="0088070D" w:rsidRDefault="00D170B1" w:rsidP="00D170B1">
      <w:pPr>
        <w:pStyle w:val="BodyText"/>
        <w:spacing w:before="1"/>
        <w:rPr>
          <w:sz w:val="14"/>
        </w:rPr>
      </w:pPr>
    </w:p>
    <w:p w14:paraId="20DDF858" w14:textId="77777777" w:rsidR="00D170B1" w:rsidRPr="0088070D" w:rsidRDefault="00D170B1" w:rsidP="00D170B1">
      <w:pPr>
        <w:pStyle w:val="BodyText"/>
        <w:spacing w:line="266" w:lineRule="auto"/>
        <w:ind w:left="5945" w:right="338"/>
      </w:pPr>
      <w:r w:rsidRPr="0088070D">
        <w:t>Performance is shown after deduction of ongoing charges. Any entry/exit charges are excluded from the calculation.</w:t>
      </w:r>
    </w:p>
    <w:p w14:paraId="7E8D1930" w14:textId="77777777" w:rsidR="00D170B1" w:rsidRPr="0088070D" w:rsidRDefault="00D170B1" w:rsidP="00D170B1">
      <w:pPr>
        <w:pStyle w:val="BodyText"/>
        <w:spacing w:before="7"/>
        <w:rPr>
          <w:sz w:val="23"/>
        </w:rPr>
      </w:pPr>
    </w:p>
    <w:p w14:paraId="060C42BF" w14:textId="77777777" w:rsidR="00D170B1" w:rsidRPr="0088070D" w:rsidRDefault="00D170B1" w:rsidP="00D170B1">
      <w:pPr>
        <w:pStyle w:val="BodyText"/>
        <w:spacing w:before="98" w:line="266" w:lineRule="auto"/>
        <w:ind w:left="5945" w:right="338"/>
      </w:pPr>
      <w:r w:rsidRPr="0088070D">
        <w:t>Past performance is based on the net asset value (NAV) of the Fund  and is not a reliable indicator of future</w:t>
      </w:r>
      <w:r w:rsidRPr="0088070D">
        <w:rPr>
          <w:spacing w:val="6"/>
        </w:rPr>
        <w:t xml:space="preserve"> </w:t>
      </w:r>
      <w:r w:rsidRPr="0088070D">
        <w:t>results</w:t>
      </w:r>
    </w:p>
    <w:p w14:paraId="5EF5D6BA" w14:textId="77777777" w:rsidR="00D170B1" w:rsidRDefault="00D170B1">
      <w:pPr>
        <w:pStyle w:val="BodyText"/>
        <w:spacing w:before="3"/>
        <w:rPr>
          <w:sz w:val="24"/>
        </w:rPr>
      </w:pPr>
    </w:p>
    <w:p w14:paraId="26AECD52" w14:textId="77777777" w:rsidR="00D170B1" w:rsidRDefault="00D170B1">
      <w:pPr>
        <w:pStyle w:val="BodyText"/>
        <w:spacing w:before="3"/>
        <w:rPr>
          <w:sz w:val="24"/>
        </w:rPr>
      </w:pPr>
    </w:p>
    <w:p w14:paraId="75DAF80A" w14:textId="1B078ACC"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5"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7906D078"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w:t>
      </w:r>
      <w:r w:rsidR="0055155F">
        <w:t xml:space="preserve"> 35 </w:t>
      </w:r>
      <w:r w:rsidRPr="0088070D">
        <w:t xml:space="preserve">, Dublin 2, Ireland or  by visiting </w:t>
      </w:r>
      <w:hyperlink r:id="rId9">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0">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343A2AFD"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the Class B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B 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59FB7E08" w14:textId="77777777" w:rsidR="00626F27" w:rsidRDefault="00626F27">
      <w:pPr>
        <w:pStyle w:val="BodyText"/>
        <w:spacing w:before="140" w:line="266" w:lineRule="auto"/>
        <w:ind w:left="156" w:right="338"/>
      </w:pPr>
    </w:p>
    <w:p w14:paraId="517D2008" w14:textId="5D953430" w:rsidR="00F026DD" w:rsidRDefault="002F5A95" w:rsidP="0055155F">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 Informati</w:t>
      </w:r>
      <w:r w:rsidRPr="0088070D">
        <w:t xml:space="preserve">on Document is accurate as </w:t>
      </w:r>
      <w:r w:rsidR="00D219FC">
        <w:t xml:space="preserve">at </w:t>
      </w:r>
      <w:r w:rsidR="00D170B1">
        <w:t xml:space="preserve">08 </w:t>
      </w:r>
      <w:r w:rsidR="00127D79">
        <w:t>February 202</w:t>
      </w:r>
      <w:r w:rsidR="00D170B1">
        <w:t>4</w:t>
      </w:r>
      <w:r w:rsidR="00127D79">
        <w:t>.</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198477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0059BF"/>
    <w:rsid w:val="00127D79"/>
    <w:rsid w:val="00242844"/>
    <w:rsid w:val="002F5A95"/>
    <w:rsid w:val="004868F3"/>
    <w:rsid w:val="004912A6"/>
    <w:rsid w:val="0051243B"/>
    <w:rsid w:val="0055155F"/>
    <w:rsid w:val="00560D62"/>
    <w:rsid w:val="0058485D"/>
    <w:rsid w:val="006103CF"/>
    <w:rsid w:val="00626F27"/>
    <w:rsid w:val="007768D7"/>
    <w:rsid w:val="0088070D"/>
    <w:rsid w:val="00884F55"/>
    <w:rsid w:val="00951AD0"/>
    <w:rsid w:val="00971FF9"/>
    <w:rsid w:val="00990941"/>
    <w:rsid w:val="00B80828"/>
    <w:rsid w:val="00C5636E"/>
    <w:rsid w:val="00D170B1"/>
    <w:rsid w:val="00D219FC"/>
    <w:rsid w:val="00DA70C0"/>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B80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28"/>
    <w:rPr>
      <w:rFonts w:ascii="Segoe UI" w:eastAsia="Arial" w:hAnsi="Segoe UI" w:cs="Segoe UI"/>
      <w:sz w:val="18"/>
      <w:szCs w:val="18"/>
    </w:rPr>
  </w:style>
  <w:style w:type="character" w:customStyle="1" w:styleId="BodyTextChar">
    <w:name w:val="Body Text Char"/>
    <w:basedOn w:val="DefaultParagraphFont"/>
    <w:link w:val="BodyText"/>
    <w:uiPriority w:val="1"/>
    <w:rsid w:val="00D170B1"/>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numRef>
              <c:f>Data!$A$2:$A$2</c:f>
              <c:numCache>
                <c:formatCode>General</c:formatCode>
                <c:ptCount val="1"/>
                <c:pt idx="0">
                  <c:v>2023</c:v>
                </c:pt>
              </c:numCache>
            </c:numRef>
          </c:cat>
          <c:val>
            <c:numRef>
              <c:f>Data!$B$2:$B$2</c:f>
              <c:numCache>
                <c:formatCode>General</c:formatCode>
                <c:ptCount val="1"/>
                <c:pt idx="0">
                  <c:v>22.86</c:v>
                </c:pt>
              </c:numCache>
            </c:numRef>
          </c:val>
          <c:extLst>
            <c:ext xmlns:c16="http://schemas.microsoft.com/office/drawing/2014/chart" uri="{C3380CC4-5D6E-409C-BE32-E72D297353CC}">
              <c16:uniqueId val="{00000000-90AE-4936-88E9-A9C21BD285CD}"/>
            </c:ext>
          </c:extLst>
        </c:ser>
        <c:ser>
          <c:idx val="1"/>
          <c:order val="1"/>
          <c:tx>
            <c:strRef>
              <c:f>Data!$C$1</c:f>
              <c:strCache>
                <c:ptCount val="1"/>
                <c:pt idx="0">
                  <c:v>MSCI World Index</c:v>
                </c:pt>
              </c:strCache>
            </c:strRef>
          </c:tx>
          <c:spPr>
            <a:solidFill>
              <a:srgbClr val="B3B3B3"/>
            </a:solidFill>
            <a:ln>
              <a:noFill/>
            </a:ln>
          </c:spPr>
          <c:invertIfNegative val="0"/>
          <c:cat>
            <c:numRef>
              <c:f>Data!$A$2:$A$2</c:f>
              <c:numCache>
                <c:formatCode>General</c:formatCode>
                <c:ptCount val="1"/>
                <c:pt idx="0">
                  <c:v>2023</c:v>
                </c:pt>
              </c:numCache>
            </c:numRef>
          </c:cat>
          <c:val>
            <c:numRef>
              <c:f>Data!$C$2:$C$2</c:f>
              <c:numCache>
                <c:formatCode>General</c:formatCode>
                <c:ptCount val="1"/>
                <c:pt idx="0">
                  <c:v>23.89</c:v>
                </c:pt>
              </c:numCache>
            </c:numRef>
          </c:val>
          <c:extLst>
            <c:ext xmlns:c16="http://schemas.microsoft.com/office/drawing/2014/chart" uri="{C3380CC4-5D6E-409C-BE32-E72D297353CC}">
              <c16:uniqueId val="{00000001-90AE-4936-88E9-A9C21BD285CD}"/>
            </c:ext>
          </c:extLst>
        </c:ser>
        <c:dLbls>
          <c:showLegendKey val="0"/>
          <c:showVal val="0"/>
          <c:showCatName val="0"/>
          <c:showSerName val="0"/>
          <c:showPercent val="0"/>
          <c:showBubbleSize val="0"/>
        </c:dLbls>
        <c:gapWidth val="150"/>
        <c:axId val="260661272"/>
        <c:axId val="1"/>
      </c:barChart>
      <c:catAx>
        <c:axId val="260661272"/>
        <c:scaling>
          <c:orientation val="minMax"/>
        </c:scaling>
        <c:delete val="0"/>
        <c:axPos val="b"/>
        <c:numFmt formatCode="[$-409]General" sourceLinked="0"/>
        <c:majorTickMark val="out"/>
        <c:minorTickMark val="none"/>
        <c:tickLblPos val="low"/>
        <c:spPr>
          <a:ln w="12696">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39.074377905386001"/>
          <c:min val="-20"/>
        </c:scaling>
        <c:delete val="0"/>
        <c:axPos val="l"/>
        <c:majorGridlines>
          <c:spPr>
            <a:ln w="12696">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260661272"/>
        <c:crosses val="autoZero"/>
        <c:crossBetween val="between"/>
        <c:majorUnit val="10"/>
        <c:minorUnit val="2"/>
      </c:valAx>
      <c:spPr>
        <a:noFill/>
        <a:ln w="25392">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6">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0.33598</cdr:x>
      <cdr:y>0.02226</cdr:y>
    </cdr:from>
    <cdr:to>
      <cdr:x>0.71356</cdr:x>
      <cdr:y>0.0616</cdr:y>
    </cdr:to>
    <cdr:sp macro="" textlink="">
      <cdr:nvSpPr>
        <cdr:cNvPr id="2" name="TextBox 1"/>
        <cdr:cNvSpPr txBox="1"/>
      </cdr:nvSpPr>
      <cdr:spPr>
        <a:xfrm xmlns:a="http://schemas.openxmlformats.org/drawingml/2006/main">
          <a:off x="1068865" y="50038"/>
          <a:ext cx="1201226"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a:t>
          </a:r>
          <a:r>
            <a:rPr lang="en-GB"/>
            <a:t>-</a:t>
          </a:r>
          <a:r>
            <a:rPr lang="en-GB" baseline="0"/>
            <a:t> B USD </a:t>
          </a:r>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5</cp:revision>
  <dcterms:created xsi:type="dcterms:W3CDTF">2022-02-25T10:29:00Z</dcterms:created>
  <dcterms:modified xsi:type="dcterms:W3CDTF">2024-02-08T13:49:00Z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